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7777777" w:rsidR="003A2C5A" w:rsidRDefault="003A2C5A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TRANSPORTNA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VOZARA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0608DD2" w:rsidR="00DB312C" w:rsidRDefault="009F0728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01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2B6B05D" w14:textId="11198B0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Uvod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:</w:t>
            </w:r>
          </w:p>
          <w:p w14:paraId="2598A4A5" w14:textId="4B48A20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Pojam transportnog osig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ranja</w:t>
            </w:r>
          </w:p>
          <w:p w14:paraId="6BF12501" w14:textId="1305B736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Istorijat (Hamurabijev zakonik, foenus nauticum, Adornov dekret, Uredba iz Barselone, Edvard Lojd – XVII vek…)</w:t>
            </w:r>
          </w:p>
          <w:p w14:paraId="1D259A1E" w14:textId="06D044B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Značaj transportnog osiguranja za razvoj osiguranja uopšte</w:t>
            </w:r>
          </w:p>
          <w:p w14:paraId="46962307" w14:textId="606691B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Mesto osiguranja transporta u </w:t>
            </w:r>
            <w:proofErr w:type="spellStart"/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portfelјima</w:t>
            </w:r>
            <w:proofErr w:type="spellEnd"/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društava za osiguranje</w:t>
            </w:r>
            <w:r w:rsid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 statistički podaci (Srbija i svet)</w:t>
            </w:r>
          </w:p>
          <w:p w14:paraId="08CA8AE1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D3E8A37" w14:textId="7719EC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Kasko osiguranje plovnih objekata i vazduhoplova i osiguranje karga </w:t>
            </w:r>
          </w:p>
          <w:p w14:paraId="43494DD3" w14:textId="36FB78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Definicija osiguranja kaska i karga u transportnom osiguranju</w:t>
            </w:r>
          </w:p>
          <w:p w14:paraId="6E3B7C6E" w14:textId="70C286B5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Ponuda za osiguranje (način formiranja, važenje, specifičnosti…)</w:t>
            </w:r>
          </w:p>
          <w:p w14:paraId="7B216D8F" w14:textId="09564C61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Zaklјučivanje ugovora </w:t>
            </w:r>
          </w:p>
          <w:p w14:paraId="4C7512D7" w14:textId="3C124A5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domaćem transportu – generalna i pojedinačna polisa</w:t>
            </w:r>
          </w:p>
          <w:p w14:paraId="4260A0BD" w14:textId="19808F8C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međunarodnom transportu – ugovor o otvorenom pokriću, pojedinačna polisa za osiguranje robe u međunarodnom prevozu</w:t>
            </w:r>
          </w:p>
          <w:p w14:paraId="10035C50" w14:textId="6C3D1AE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Predmet osiguranja i osigurani rizici – širina pokrića (osnovni rizici i „All Risks“ u domaćem i međunarodnom transportu, pokriće specijalnih rizika, dužnosti u slučaju nastanka štete, isklјučenja iz osiguranja…)</w:t>
            </w:r>
          </w:p>
          <w:p w14:paraId="6BF920E2" w14:textId="7917552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Klauzule u međunarodnom transportu - Institute Cargo Clauses, pokriće od ratnih rizika i rizika štrajka, klauzule Instituta londonskih osiguravača kojom je regulisano pokriće od dopunskih rizika krađe, delimične krađe ili neisporuke celog koleta (Institute Theft Pilferage Non-Delivery Clause)</w:t>
            </w:r>
          </w:p>
          <w:p w14:paraId="4F6F644E" w14:textId="6CFBE339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Otpisna polisa – procedura za slučaj nemogućnosti prijave preciznih podataka o količini i težini robe, prevoznim sredstvima, tačnom datumu otpreme...</w:t>
            </w:r>
          </w:p>
          <w:p w14:paraId="7F67D4E1" w14:textId="5B567EF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izvozu, uvozu i reeksportu - Marine policy Cargo policy</w:t>
            </w:r>
          </w:p>
          <w:p w14:paraId="4D5EC60E" w14:textId="5B19338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Prenosive i neprenosive polise</w:t>
            </w:r>
          </w:p>
          <w:p w14:paraId="47E0ECEA" w14:textId="2372DDE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Način prevoza i uticaj na formiranje premije osiguranja, značaj INCOTERMS pravila</w:t>
            </w:r>
          </w:p>
          <w:p w14:paraId="1AEDA114" w14:textId="593565A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Osigurani iznos i vrednost osiguranog predmeta</w:t>
            </w:r>
          </w:p>
          <w:p w14:paraId="29494E77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7C53E8AB" w14:textId="3D309E4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Osiguranje odgovornosti za štete na pošilјkama  </w:t>
            </w:r>
          </w:p>
          <w:p w14:paraId="3A11E63A" w14:textId="3DB447EF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Osiguranje odgovornosti vozara (prevozioca) u domaćem drumskom prevozu </w:t>
            </w:r>
          </w:p>
          <w:p w14:paraId="5BBA0D85" w14:textId="50D3378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vozara (prevozioca) u međunarodnom drumskom prevozu na osnovu odredaba Konvencije o ugovoru za međunarodni prevoz drumom (CMR).</w:t>
            </w:r>
          </w:p>
          <w:p w14:paraId="0BA587FA" w14:textId="620233F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</w:t>
            </w:r>
          </w:p>
          <w:p w14:paraId="69FE08B0" w14:textId="707DC0E2" w:rsidR="00063389" w:rsidRPr="00D41359" w:rsidRDefault="003A2C5A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 po FIATA teretnici (FBL)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6714C31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A2C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50FC691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3452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2024-12-27T11:41:00Z</dcterms:created>
  <dcterms:modified xsi:type="dcterms:W3CDTF">2024-12-27T13:57:00Z</dcterms:modified>
</cp:coreProperties>
</file>